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A7CB" w14:textId="2E36DF99" w:rsidR="00D155C1" w:rsidRDefault="00D155C1" w:rsidP="00D155C1">
      <w:pPr>
        <w:pStyle w:val="Title"/>
      </w:pPr>
      <w:r>
        <w:t>Snow Day Assessment Targets</w:t>
      </w:r>
    </w:p>
    <w:p w14:paraId="7D5EE0B0" w14:textId="77777777" w:rsidR="00D155C1" w:rsidRDefault="00D155C1" w:rsidP="00D155C1">
      <w:pPr>
        <w:pStyle w:val="Default"/>
      </w:pPr>
    </w:p>
    <w:p w14:paraId="7296E200" w14:textId="4369E1C0" w:rsidR="00D155C1" w:rsidRPr="00D155C1" w:rsidRDefault="00D155C1" w:rsidP="00D155C1">
      <w:pPr>
        <w:pStyle w:val="Heading1"/>
        <w:rPr>
          <w:b/>
          <w:bCs/>
        </w:rPr>
      </w:pPr>
      <w:r w:rsidRPr="00D155C1">
        <w:rPr>
          <w:b/>
          <w:bCs/>
        </w:rPr>
        <w:t>Three-Dimensional Claim</w:t>
      </w:r>
    </w:p>
    <w:p w14:paraId="0BF21868" w14:textId="1DC69A8E" w:rsidR="00F34EDA" w:rsidRPr="00B045FB" w:rsidRDefault="00D155C1" w:rsidP="00D155C1">
      <w:pPr>
        <w:rPr>
          <w:rStyle w:val="A0"/>
          <w:color w:val="255E00"/>
        </w:rPr>
      </w:pPr>
      <w:r>
        <w:t xml:space="preserve"> </w:t>
      </w:r>
      <w:r w:rsidRPr="77FF24CA">
        <w:rPr>
          <w:rStyle w:val="A0"/>
        </w:rPr>
        <w:t xml:space="preserve">In this task, students apply their </w:t>
      </w:r>
      <w:r w:rsidRPr="00B045FB">
        <w:rPr>
          <w:rStyle w:val="A0"/>
          <w:color w:val="833C0B" w:themeColor="accent2" w:themeShade="80"/>
        </w:rPr>
        <w:t xml:space="preserve">understanding of atmospheric conditions and weather patterns to predict future weather conditions </w:t>
      </w:r>
      <w:r w:rsidRPr="77FF24CA">
        <w:rPr>
          <w:rStyle w:val="A0"/>
        </w:rPr>
        <w:t xml:space="preserve">by using </w:t>
      </w:r>
      <w:r w:rsidRPr="77FF24CA">
        <w:rPr>
          <w:rStyle w:val="A0"/>
          <w:color w:val="0F72B9"/>
        </w:rPr>
        <w:t xml:space="preserve">models to explain the pattern of snowfall in the more northern city of Knoxville and to develop a model to explain </w:t>
      </w:r>
      <w:r w:rsidRPr="77FF24CA">
        <w:rPr>
          <w:rStyle w:val="A0"/>
        </w:rPr>
        <w:t xml:space="preserve">an atypical event of how Chattanooga received snow while Knoxville (which has a similar longitude) did not, by </w:t>
      </w:r>
      <w:r w:rsidRPr="00B045FB">
        <w:rPr>
          <w:rStyle w:val="A0"/>
          <w:color w:val="255E00"/>
        </w:rPr>
        <w:t>showing a cause and effect relationship can be used to predict phenomena in a natural system.</w:t>
      </w:r>
    </w:p>
    <w:p w14:paraId="0E894DB4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476B0A8" w14:textId="629E1B96" w:rsidR="00D155C1" w:rsidRPr="00D155C1" w:rsidRDefault="00D155C1" w:rsidP="00D155C1">
      <w:pPr>
        <w:pStyle w:val="Heading1"/>
        <w:rPr>
          <w:b/>
          <w:bCs/>
        </w:rPr>
      </w:pPr>
      <w:r w:rsidRPr="00D155C1">
        <w:rPr>
          <w:b/>
          <w:bCs/>
        </w:rPr>
        <w:t xml:space="preserve">Next Generation Science Standards </w:t>
      </w:r>
    </w:p>
    <w:p w14:paraId="1863F4B3" w14:textId="77777777" w:rsidR="00D155C1" w:rsidRPr="00D155C1" w:rsidRDefault="00D155C1" w:rsidP="00D155C1">
      <w:pPr>
        <w:autoSpaceDE w:val="0"/>
        <w:autoSpaceDN w:val="0"/>
        <w:adjustRightInd w:val="0"/>
        <w:spacing w:after="180" w:line="241" w:lineRule="atLeast"/>
        <w:ind w:right="360"/>
        <w:rPr>
          <w:rFonts w:ascii="Calibri" w:hAnsi="Calibri" w:cs="Calibri"/>
          <w:color w:val="211D1E"/>
          <w:sz w:val="28"/>
          <w:szCs w:val="28"/>
        </w:rPr>
      </w:pPr>
      <w:r w:rsidRPr="00D155C1">
        <w:rPr>
          <w:rFonts w:ascii="Calibri" w:hAnsi="Calibri" w:cs="Calibri"/>
          <w:color w:val="211D1E"/>
          <w:sz w:val="28"/>
          <w:szCs w:val="28"/>
        </w:rPr>
        <w:t xml:space="preserve">This task is intended to elicit student learning of the following </w:t>
      </w:r>
      <w:r w:rsidRPr="00D155C1">
        <w:rPr>
          <w:rFonts w:ascii="Calibri" w:hAnsi="Calibri" w:cs="Calibri"/>
          <w:color w:val="142F6A"/>
          <w:sz w:val="28"/>
          <w:szCs w:val="28"/>
        </w:rPr>
        <w:t xml:space="preserve">NGSS elements </w:t>
      </w:r>
      <w:r w:rsidRPr="00D155C1">
        <w:rPr>
          <w:rFonts w:ascii="Calibri" w:hAnsi="Calibri" w:cs="Calibri"/>
          <w:color w:val="211D1E"/>
          <w:sz w:val="28"/>
          <w:szCs w:val="28"/>
        </w:rPr>
        <w:t xml:space="preserve">for each of the three dimensions: </w:t>
      </w:r>
    </w:p>
    <w:p w14:paraId="4DAF3E6F" w14:textId="77777777" w:rsidR="00D155C1" w:rsidRPr="00D155C1" w:rsidRDefault="00D155C1" w:rsidP="00D155C1">
      <w:pPr>
        <w:pStyle w:val="Heading2"/>
      </w:pPr>
      <w:r w:rsidRPr="00D155C1">
        <w:t xml:space="preserve">Science and Engineering Practices </w:t>
      </w:r>
    </w:p>
    <w:p w14:paraId="56FB0622" w14:textId="77777777" w:rsidR="00D155C1" w:rsidRPr="00D155C1" w:rsidRDefault="00D155C1" w:rsidP="00D155C1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Developing and Using Models </w:t>
      </w:r>
    </w:p>
    <w:p w14:paraId="77273013" w14:textId="77777777" w:rsidR="00D155C1" w:rsidRPr="00D155C1" w:rsidRDefault="00D155C1" w:rsidP="00D155C1">
      <w:pPr>
        <w:autoSpaceDE w:val="0"/>
        <w:autoSpaceDN w:val="0"/>
        <w:adjustRightInd w:val="0"/>
        <w:spacing w:after="63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Develop and /or use a model to predict and/or describe phenomena. </w:t>
      </w:r>
    </w:p>
    <w:p w14:paraId="356C2E0E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Develop or modify a model — based on evidence — to match what happens if a variable or component of a system is changed. </w:t>
      </w:r>
    </w:p>
    <w:p w14:paraId="122FB152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14:paraId="59D855AA" w14:textId="77777777" w:rsidR="00D155C1" w:rsidRDefault="00D155C1" w:rsidP="00D155C1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Analyzing and Interpreting Data </w:t>
      </w:r>
    </w:p>
    <w:p w14:paraId="35987BB6" w14:textId="592C4571" w:rsidR="00D155C1" w:rsidRPr="00D155C1" w:rsidRDefault="00D155C1" w:rsidP="00D155C1">
      <w:pPr>
        <w:autoSpaceDE w:val="0"/>
        <w:autoSpaceDN w:val="0"/>
        <w:adjustRightInd w:val="0"/>
        <w:spacing w:after="0" w:line="241" w:lineRule="atLeast"/>
        <w:ind w:left="720"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Analyze and interpret data to provide evidence for phenomena. </w:t>
      </w:r>
    </w:p>
    <w:p w14:paraId="35CEC6F1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14:paraId="58B2CC83" w14:textId="77777777" w:rsidR="00D155C1" w:rsidRPr="00D155C1" w:rsidRDefault="00D155C1" w:rsidP="00D155C1">
      <w:pPr>
        <w:pStyle w:val="Heading2"/>
      </w:pPr>
      <w:r w:rsidRPr="00D155C1">
        <w:t xml:space="preserve">Disciplinary Core Ideas </w:t>
      </w:r>
    </w:p>
    <w:p w14:paraId="5E5CA9EF" w14:textId="77777777" w:rsidR="00D155C1" w:rsidRPr="00D155C1" w:rsidRDefault="00D155C1" w:rsidP="00D155C1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ESS2.D Weather and Climate </w:t>
      </w:r>
    </w:p>
    <w:p w14:paraId="23F028B1" w14:textId="42297D58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Because these patterns are so complex, weather can only be predicted probabilistically. </w:t>
      </w:r>
    </w:p>
    <w:p w14:paraId="4F55D33C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9582D5" w14:textId="77777777" w:rsidR="00D155C1" w:rsidRPr="00D155C1" w:rsidRDefault="00D155C1" w:rsidP="00D155C1">
      <w:pPr>
        <w:pStyle w:val="Heading2"/>
      </w:pPr>
      <w:r w:rsidRPr="00D155C1">
        <w:t xml:space="preserve">Crosscutting Concepts </w:t>
      </w:r>
    </w:p>
    <w:p w14:paraId="5EF2DF4C" w14:textId="77777777" w:rsidR="00D155C1" w:rsidRDefault="00D155C1" w:rsidP="00D155C1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Cause and Effect: Mechanism and Prediction </w:t>
      </w:r>
    </w:p>
    <w:p w14:paraId="6DB77BBB" w14:textId="73FA288F" w:rsidR="00D155C1" w:rsidRPr="00D155C1" w:rsidRDefault="00D155C1" w:rsidP="00D155C1">
      <w:pPr>
        <w:autoSpaceDE w:val="0"/>
        <w:autoSpaceDN w:val="0"/>
        <w:adjustRightInd w:val="0"/>
        <w:spacing w:after="0" w:line="241" w:lineRule="atLeast"/>
        <w:ind w:left="720"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Cause and effect relationships may be used to predict phenomena in natural or designed systems. </w:t>
      </w:r>
    </w:p>
    <w:p w14:paraId="33129824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14:paraId="6B63636F" w14:textId="77777777" w:rsidR="00D155C1" w:rsidRPr="00D155C1" w:rsidRDefault="00D155C1" w:rsidP="00D155C1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System and System Models </w:t>
      </w:r>
    </w:p>
    <w:p w14:paraId="5EEA88AB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Models are limited in that they only represent certain aspects of the system under study. </w:t>
      </w:r>
    </w:p>
    <w:p w14:paraId="6689DEF6" w14:textId="77777777" w:rsidR="00D155C1" w:rsidRPr="00D155C1" w:rsidRDefault="00D155C1" w:rsidP="00D155C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14:paraId="1797B802" w14:textId="059F5F1B" w:rsidR="00D155C1" w:rsidRDefault="00D155C1" w:rsidP="00D155C1"/>
    <w:sectPr w:rsidR="00D155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79B1" w14:textId="77777777" w:rsidR="00192803" w:rsidRDefault="00192803" w:rsidP="00F559A4">
      <w:pPr>
        <w:spacing w:after="0" w:line="240" w:lineRule="auto"/>
      </w:pPr>
      <w:r>
        <w:separator/>
      </w:r>
    </w:p>
  </w:endnote>
  <w:endnote w:type="continuationSeparator" w:id="0">
    <w:p w14:paraId="407E698A" w14:textId="77777777" w:rsidR="00192803" w:rsidRDefault="00192803" w:rsidP="00F5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2572834D" w14:paraId="5BBA83AE" w14:textId="77777777" w:rsidTr="2572834D">
      <w:trPr>
        <w:trHeight w:val="300"/>
      </w:trPr>
      <w:tc>
        <w:tcPr>
          <w:tcW w:w="9472" w:type="dxa"/>
        </w:tcPr>
        <w:p w14:paraId="0842E098" w14:textId="535BB017" w:rsidR="2572834D" w:rsidRDefault="2572834D" w:rsidP="2572834D">
          <w:pPr>
            <w:pStyle w:val="Header"/>
            <w:ind w:left="-115"/>
          </w:pPr>
          <w:r w:rsidRPr="2572834D">
            <w:rPr>
              <w:rFonts w:ascii="Arial" w:eastAsia="Arial" w:hAnsi="Arial" w:cs="Arial"/>
              <w:color w:val="153D64"/>
            </w:rPr>
            <w:t xml:space="preserve">Tennessee District Science Network, 2019. </w:t>
          </w:r>
          <w:proofErr w:type="spellStart"/>
          <w:r w:rsidRPr="2572834D">
            <w:rPr>
              <w:rFonts w:ascii="Arial" w:eastAsia="Arial" w:hAnsi="Arial" w:cs="Arial"/>
              <w:color w:val="153D64"/>
            </w:rPr>
            <w:t>NextGenScience</w:t>
          </w:r>
          <w:proofErr w:type="spellEnd"/>
          <w:r w:rsidRPr="2572834D">
            <w:rPr>
              <w:rFonts w:ascii="Arial" w:eastAsia="Arial" w:hAnsi="Arial" w:cs="Arial"/>
              <w:color w:val="153D64"/>
            </w:rPr>
            <w:t xml:space="preserve"> at Wested. Retrieved from: https://ngs.wested.org/tennessee-district-science-network/#library</w:t>
          </w:r>
        </w:p>
      </w:tc>
    </w:tr>
  </w:tbl>
  <w:p w14:paraId="068F9353" w14:textId="1C73950A" w:rsidR="2572834D" w:rsidRDefault="2572834D" w:rsidP="25728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873B" w14:textId="77777777" w:rsidR="00192803" w:rsidRDefault="00192803" w:rsidP="00F559A4">
      <w:pPr>
        <w:spacing w:after="0" w:line="240" w:lineRule="auto"/>
      </w:pPr>
      <w:r>
        <w:separator/>
      </w:r>
    </w:p>
  </w:footnote>
  <w:footnote w:type="continuationSeparator" w:id="0">
    <w:p w14:paraId="6C9F919F" w14:textId="77777777" w:rsidR="00192803" w:rsidRDefault="00192803" w:rsidP="00F5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6F07" w14:textId="68903137" w:rsidR="00F559A4" w:rsidRDefault="00F559A4">
    <w:pPr>
      <w:pStyle w:val="Header"/>
    </w:pPr>
    <w:r w:rsidRPr="00F559A4">
      <w:rPr>
        <w:rFonts w:ascii="Calibri" w:eastAsia="Calibri" w:hAnsi="Calibri" w:cs="Calibri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EBCF1B4" wp14:editId="05ACE3CF">
          <wp:simplePos x="0" y="0"/>
          <wp:positionH relativeFrom="column">
            <wp:posOffset>5739618</wp:posOffset>
          </wp:positionH>
          <wp:positionV relativeFrom="paragraph">
            <wp:posOffset>-400978</wp:posOffset>
          </wp:positionV>
          <wp:extent cx="914400" cy="914400"/>
          <wp:effectExtent l="0" t="0" r="0" b="0"/>
          <wp:wrapNone/>
          <wp:docPr id="19" name="Graphic 19" descr="Snowflak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 descr="Snowflak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300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8646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21ED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452861"/>
    <w:multiLevelType w:val="hybridMultilevel"/>
    <w:tmpl w:val="9E9082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034F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9337531">
    <w:abstractNumId w:val="2"/>
  </w:num>
  <w:num w:numId="2" w16cid:durableId="292374571">
    <w:abstractNumId w:val="1"/>
  </w:num>
  <w:num w:numId="3" w16cid:durableId="1752266374">
    <w:abstractNumId w:val="0"/>
  </w:num>
  <w:num w:numId="4" w16cid:durableId="1265268564">
    <w:abstractNumId w:val="4"/>
  </w:num>
  <w:num w:numId="5" w16cid:durableId="11297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BA"/>
    <w:rsid w:val="00022932"/>
    <w:rsid w:val="00192803"/>
    <w:rsid w:val="00335C35"/>
    <w:rsid w:val="003B3CCB"/>
    <w:rsid w:val="003C78B3"/>
    <w:rsid w:val="00414B8E"/>
    <w:rsid w:val="005D3F6F"/>
    <w:rsid w:val="00827FAC"/>
    <w:rsid w:val="008B17AF"/>
    <w:rsid w:val="00962424"/>
    <w:rsid w:val="009E2BBA"/>
    <w:rsid w:val="00B045FB"/>
    <w:rsid w:val="00D153FC"/>
    <w:rsid w:val="00D155C1"/>
    <w:rsid w:val="00F34EDA"/>
    <w:rsid w:val="00F559A4"/>
    <w:rsid w:val="025561C0"/>
    <w:rsid w:val="2572834D"/>
    <w:rsid w:val="28DE378F"/>
    <w:rsid w:val="2B20E0E4"/>
    <w:rsid w:val="320CBEAE"/>
    <w:rsid w:val="5C500084"/>
    <w:rsid w:val="77FF24CA"/>
    <w:rsid w:val="7F8EB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BA87"/>
  <w15:chartTrackingRefBased/>
  <w15:docId w15:val="{EFE89AAB-F03C-4D87-AC89-F5B4D3F2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55C1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0">
    <w:name w:val="A0"/>
    <w:uiPriority w:val="99"/>
    <w:rsid w:val="00D155C1"/>
    <w:rPr>
      <w:color w:val="211D1E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15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155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4">
    <w:name w:val="Pa4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D155C1"/>
    <w:rPr>
      <w:color w:val="211D1E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paragraph" w:customStyle="1" w:styleId="Pa8">
    <w:name w:val="Pa8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D155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55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A4"/>
  </w:style>
  <w:style w:type="paragraph" w:styleId="Footer">
    <w:name w:val="footer"/>
    <w:basedOn w:val="Normal"/>
    <w:link w:val="FooterChar"/>
    <w:uiPriority w:val="99"/>
    <w:unhideWhenUsed/>
    <w:rsid w:val="00F55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A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828A0-E8FC-4192-81F6-C7C60FD6B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D66D1-F8BC-4DC4-BBE6-7F9EAC74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62AD2-CA8F-463E-A752-074A55184487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4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Wolbrink</dc:creator>
  <cp:keywords/>
  <dc:description/>
  <cp:lastModifiedBy>Andrea Brown</cp:lastModifiedBy>
  <cp:revision>9</cp:revision>
  <dcterms:created xsi:type="dcterms:W3CDTF">2023-02-25T23:01:00Z</dcterms:created>
  <dcterms:modified xsi:type="dcterms:W3CDTF">2025-06-04T14:35:00Z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