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10" w:rsidRDefault="00F5057E" w:rsidP="009B1CF7">
      <w:pPr>
        <w:spacing w:line="276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Chapter 7 Topics</w:t>
      </w:r>
    </w:p>
    <w:p w:rsidR="00CF2F10" w:rsidRDefault="00CF2F10" w:rsidP="009B1CF7">
      <w:pPr>
        <w:spacing w:line="276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7.1: Ratios and Proportions</w:t>
      </w:r>
    </w:p>
    <w:p w:rsidR="00F5057E" w:rsidRDefault="00CF2F10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</w:t>
      </w:r>
      <w:r>
        <w:rPr>
          <w:rFonts w:ascii="Cambria Math" w:hAnsi="Cambria Math"/>
          <w:b/>
          <w:sz w:val="24"/>
          <w:szCs w:val="24"/>
        </w:rPr>
        <w:t xml:space="preserve">ratio </w:t>
      </w:r>
      <w:r>
        <w:rPr>
          <w:rFonts w:ascii="Cambria Math" w:hAnsi="Cambria Math"/>
          <w:sz w:val="24"/>
          <w:szCs w:val="24"/>
        </w:rPr>
        <w:t>is a comparison of two quantities by division.</w:t>
      </w:r>
    </w:p>
    <w:p w:rsidR="00CF2F10" w:rsidRDefault="00CF2F10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</w:t>
      </w:r>
      <w:r>
        <w:rPr>
          <w:rFonts w:ascii="Cambria Math" w:hAnsi="Cambria Math"/>
          <w:b/>
          <w:sz w:val="24"/>
          <w:szCs w:val="24"/>
        </w:rPr>
        <w:t>proportion</w:t>
      </w:r>
      <w:r>
        <w:rPr>
          <w:rFonts w:ascii="Cambria Math" w:hAnsi="Cambria Math"/>
          <w:sz w:val="24"/>
          <w:szCs w:val="24"/>
        </w:rPr>
        <w:t xml:space="preserve"> is an equation that states that two ratios are equal.  </w:t>
      </w:r>
    </w:p>
    <w:p w:rsidR="00E544E4" w:rsidRDefault="00E544E4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Be able to solve proportions.</w:t>
      </w:r>
    </w:p>
    <w:p w:rsidR="00E544E4" w:rsidRDefault="00E544E4" w:rsidP="009B1CF7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b/>
          <w:sz w:val="24"/>
          <w:szCs w:val="24"/>
        </w:rPr>
      </w:pPr>
      <w:r w:rsidRPr="00E544E4">
        <w:rPr>
          <w:rFonts w:ascii="Cambria Math" w:hAnsi="Cambria Math"/>
          <w:b/>
          <w:sz w:val="24"/>
          <w:szCs w:val="24"/>
        </w:rPr>
        <w:t>Properties of Proportions</w:t>
      </w:r>
    </w:p>
    <w:p w:rsidR="00E544E4" w:rsidRPr="00E544E4" w:rsidRDefault="00E544E4" w:rsidP="009B1CF7">
      <w:pPr>
        <w:pStyle w:val="ListParagraph"/>
        <w:numPr>
          <w:ilvl w:val="2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 w:rsidRPr="00E544E4">
        <w:rPr>
          <w:rFonts w:ascii="Cambria Math" w:hAnsi="Cambria Math"/>
          <w:sz w:val="24"/>
          <w:szCs w:val="24"/>
        </w:rPr>
        <w:t>Complete the proportions using the properties of proportions</w:t>
      </w:r>
    </w:p>
    <w:p w:rsidR="00E544E4" w:rsidRPr="00E544E4" w:rsidRDefault="00E544E4" w:rsidP="009B1CF7">
      <w:pPr>
        <w:pStyle w:val="ListParagraph"/>
        <w:spacing w:line="276" w:lineRule="auto"/>
        <w:ind w:left="2211"/>
        <w:rPr>
          <w:rFonts w:ascii="Cambria Math" w:eastAsiaTheme="minorEastAsia" w:hAnsi="Cambria Math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is equivalent to</m:t>
          </m:r>
        </m:oMath>
      </m:oMathPara>
    </w:p>
    <w:p w:rsidR="00E544E4" w:rsidRPr="00E544E4" w:rsidRDefault="00E544E4" w:rsidP="009B1CF7">
      <w:pPr>
        <w:pStyle w:val="ListParagraph"/>
        <w:numPr>
          <w:ilvl w:val="0"/>
          <w:numId w:val="5"/>
        </w:numPr>
        <w:spacing w:line="276" w:lineRule="auto"/>
        <w:rPr>
          <w:rFonts w:ascii="Cambria Math" w:eastAsiaTheme="minorEastAsia" w:hAnsi="Cambria Math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d=bc</m:t>
        </m:r>
      </m:oMath>
    </w:p>
    <w:p w:rsidR="00E544E4" w:rsidRPr="00E544E4" w:rsidRDefault="00E544E4" w:rsidP="009B1CF7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</w:p>
    <w:p w:rsidR="00E544E4" w:rsidRPr="00E544E4" w:rsidRDefault="00E544E4" w:rsidP="009B1CF7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</w:p>
    <w:p w:rsidR="00E544E4" w:rsidRPr="00E544E4" w:rsidRDefault="00E544E4" w:rsidP="009B1CF7">
      <w:pPr>
        <w:pStyle w:val="ListParagraph"/>
        <w:numPr>
          <w:ilvl w:val="0"/>
          <w:numId w:val="3"/>
        </w:numPr>
        <w:spacing w:line="276" w:lineRule="auto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c+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</w:p>
    <w:p w:rsidR="00CF2F10" w:rsidRDefault="00CF2F10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</w:t>
      </w:r>
      <w:r>
        <w:rPr>
          <w:rFonts w:ascii="Cambria Math" w:hAnsi="Cambria Math"/>
          <w:b/>
          <w:sz w:val="24"/>
          <w:szCs w:val="24"/>
        </w:rPr>
        <w:t xml:space="preserve">Cross Product Property </w:t>
      </w:r>
      <w:r>
        <w:rPr>
          <w:rFonts w:ascii="Cambria Math" w:hAnsi="Cambria Math"/>
          <w:sz w:val="24"/>
          <w:szCs w:val="24"/>
        </w:rPr>
        <w:t>is “the product of the extremes is equal to the product of the means”</w:t>
      </w:r>
    </w:p>
    <w:p w:rsidR="00CF2F10" w:rsidRPr="00CF2F10" w:rsidRDefault="00CF2F10" w:rsidP="009B1CF7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the statement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the product </w:t>
      </w:r>
      <w:proofErr w:type="spellStart"/>
      <w:r>
        <w:rPr>
          <w:rFonts w:ascii="Cambria Math" w:eastAsiaTheme="minorEastAsia" w:hAnsi="Cambria Math"/>
          <w:sz w:val="24"/>
          <w:szCs w:val="24"/>
        </w:rPr>
        <w:t>bc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and the product ad are the cross products</w:t>
      </w:r>
    </w:p>
    <w:p w:rsidR="00CF2F10" w:rsidRPr="00CF2F10" w:rsidRDefault="00CF2F10" w:rsidP="009B1CF7">
      <w:pPr>
        <w:pStyle w:val="ListParagraph"/>
        <w:numPr>
          <w:ilvl w:val="2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In that same proportion b and c are the </w:t>
      </w:r>
      <w:r>
        <w:rPr>
          <w:rFonts w:ascii="Cambria Math" w:eastAsiaTheme="minorEastAsia" w:hAnsi="Cambria Math"/>
          <w:b/>
          <w:sz w:val="24"/>
          <w:szCs w:val="24"/>
        </w:rPr>
        <w:t>means.</w:t>
      </w:r>
    </w:p>
    <w:p w:rsidR="00CF2F10" w:rsidRPr="00E544E4" w:rsidRDefault="00CF2F10" w:rsidP="009B1CF7">
      <w:pPr>
        <w:pStyle w:val="ListParagraph"/>
        <w:numPr>
          <w:ilvl w:val="2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In the same proportion </w:t>
      </w:r>
      <w:proofErr w:type="gramStart"/>
      <w:r>
        <w:rPr>
          <w:rFonts w:ascii="Cambria Math" w:eastAsiaTheme="minorEastAsia" w:hAnsi="Cambria Math"/>
          <w:sz w:val="24"/>
          <w:szCs w:val="24"/>
        </w:rPr>
        <w:t>a and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>
        <w:rPr>
          <w:rFonts w:ascii="Cambria Math" w:eastAsiaTheme="minorEastAsia" w:hAnsi="Cambria Math"/>
          <w:sz w:val="24"/>
          <w:szCs w:val="24"/>
        </w:rPr>
        <w:t>d are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the </w:t>
      </w:r>
      <w:r>
        <w:rPr>
          <w:rFonts w:ascii="Cambria Math" w:eastAsiaTheme="minorEastAsia" w:hAnsi="Cambria Math"/>
          <w:b/>
          <w:sz w:val="24"/>
          <w:szCs w:val="24"/>
        </w:rPr>
        <w:t>extremes.</w:t>
      </w:r>
    </w:p>
    <w:p w:rsidR="00E544E4" w:rsidRDefault="00E544E4" w:rsidP="009B1CF7">
      <w:pPr>
        <w:spacing w:line="276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7.2: Similar Polygons</w:t>
      </w:r>
    </w:p>
    <w:p w:rsidR="00E544E4" w:rsidRPr="00E544E4" w:rsidRDefault="00E544E4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Two figures that have the same shape but not necessarily the same size are </w:t>
      </w:r>
      <w:r>
        <w:rPr>
          <w:rFonts w:ascii="Cambria Math" w:hAnsi="Cambria Math"/>
          <w:b/>
          <w:sz w:val="24"/>
          <w:szCs w:val="24"/>
        </w:rPr>
        <w:t>similar.</w:t>
      </w:r>
    </w:p>
    <w:p w:rsidR="00E544E4" w:rsidRDefault="00AF2EDF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Similar Polygons </w:t>
      </w:r>
      <w:r>
        <w:rPr>
          <w:rFonts w:ascii="Cambria Math" w:hAnsi="Cambria Math"/>
          <w:sz w:val="24"/>
          <w:szCs w:val="24"/>
        </w:rPr>
        <w:t>are two polygons with corresponding angles congruent and corresponding sides are proportional.</w:t>
      </w:r>
    </w:p>
    <w:p w:rsidR="00AF2EDF" w:rsidRPr="00AF2EDF" w:rsidRDefault="00AF2EDF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ratio of the lengths of corresponding sides is the </w:t>
      </w:r>
      <w:r>
        <w:rPr>
          <w:rFonts w:ascii="Cambria Math" w:hAnsi="Cambria Math"/>
          <w:b/>
          <w:sz w:val="24"/>
          <w:szCs w:val="24"/>
        </w:rPr>
        <w:t>similarity ratio.</w:t>
      </w:r>
    </w:p>
    <w:p w:rsidR="00AF2EDF" w:rsidRDefault="00AF2EDF" w:rsidP="009B1CF7">
      <w:pPr>
        <w:pStyle w:val="ListParagraph"/>
        <w:numPr>
          <w:ilvl w:val="0"/>
          <w:numId w:val="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Given two similar figures determine the congruent sides and set up proportions</w:t>
      </w:r>
    </w:p>
    <w:p w:rsidR="00AF2EDF" w:rsidRDefault="00AF2EDF" w:rsidP="009B1CF7">
      <w:pPr>
        <w:spacing w:line="276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7.3: Proving Triangles Similar</w:t>
      </w:r>
    </w:p>
    <w:p w:rsidR="00AF2EDF" w:rsidRDefault="00AF2EDF" w:rsidP="009B1CF7">
      <w:pPr>
        <w:pStyle w:val="ListParagraph"/>
        <w:numPr>
          <w:ilvl w:val="0"/>
          <w:numId w:val="6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Angle-Angle Similarity (AA∼</w:t>
      </w:r>
      <w:proofErr w:type="gramStart"/>
      <w:r>
        <w:rPr>
          <w:rFonts w:ascii="Cambria Math" w:hAnsi="Cambria Math"/>
          <w:b/>
          <w:sz w:val="24"/>
          <w:szCs w:val="24"/>
        </w:rPr>
        <w:t>)-</w:t>
      </w:r>
      <w:proofErr w:type="gramEnd"/>
      <w:r>
        <w:rPr>
          <w:rFonts w:ascii="Cambria Math" w:hAnsi="Cambria Math"/>
          <w:sz w:val="24"/>
          <w:szCs w:val="24"/>
        </w:rPr>
        <w:t xml:space="preserve"> If two angles of one triangle are congruent to two angles of another triangle, then the two triangles are similar.</w:t>
      </w:r>
    </w:p>
    <w:p w:rsidR="00AF2EDF" w:rsidRDefault="00AF2EDF" w:rsidP="009B1CF7">
      <w:pPr>
        <w:pStyle w:val="ListParagraph"/>
        <w:numPr>
          <w:ilvl w:val="0"/>
          <w:numId w:val="6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Side-Angle-Side Similarity (SAS∼</w:t>
      </w:r>
      <w:proofErr w:type="gramStart"/>
      <w:r>
        <w:rPr>
          <w:rFonts w:ascii="Cambria Math" w:hAnsi="Cambria Math"/>
          <w:b/>
          <w:sz w:val="24"/>
          <w:szCs w:val="24"/>
        </w:rPr>
        <w:t>)-</w:t>
      </w:r>
      <w:proofErr w:type="gramEnd"/>
      <w:r>
        <w:rPr>
          <w:rFonts w:ascii="Cambria Math" w:hAnsi="Cambria Math"/>
          <w:sz w:val="24"/>
          <w:szCs w:val="24"/>
        </w:rPr>
        <w:t xml:space="preserve"> If an angle of one triangle is congruent to an angle of a second triangle, and the sides including the two angles are proportional, then the triangles are similar.</w:t>
      </w:r>
    </w:p>
    <w:p w:rsidR="00AF2EDF" w:rsidRDefault="00AF2EDF" w:rsidP="009B1CF7">
      <w:pPr>
        <w:pStyle w:val="ListParagraph"/>
        <w:numPr>
          <w:ilvl w:val="0"/>
          <w:numId w:val="6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Side-Side-Side Similarity (SSS</w:t>
      </w:r>
      <w:r>
        <w:rPr>
          <w:rFonts w:ascii="Cambria Math" w:hAnsi="Cambria Math"/>
          <w:b/>
          <w:sz w:val="24"/>
          <w:szCs w:val="24"/>
        </w:rPr>
        <w:t>∼</w:t>
      </w:r>
      <w:proofErr w:type="gramStart"/>
      <w:r>
        <w:rPr>
          <w:rFonts w:ascii="Cambria Math" w:hAnsi="Cambria Math"/>
          <w:b/>
          <w:sz w:val="24"/>
          <w:szCs w:val="24"/>
        </w:rPr>
        <w:t>)-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If the corresponding sides of two triangles are proportional, then the triangles are similar.</w:t>
      </w:r>
    </w:p>
    <w:p w:rsidR="00AF2EDF" w:rsidRDefault="00AF2EDF" w:rsidP="009B1CF7">
      <w:pPr>
        <w:spacing w:line="276" w:lineRule="auto"/>
        <w:rPr>
          <w:rFonts w:ascii="Cambria Math" w:hAnsi="Cambria Math"/>
          <w:sz w:val="24"/>
          <w:szCs w:val="24"/>
        </w:rPr>
      </w:pPr>
    </w:p>
    <w:p w:rsidR="00AF2EDF" w:rsidRDefault="00AF2EDF" w:rsidP="009B1CF7">
      <w:pPr>
        <w:spacing w:line="276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lastRenderedPageBreak/>
        <w:t>7.4: Similarity in Right Triangles</w:t>
      </w:r>
    </w:p>
    <w:p w:rsidR="00AF2EDF" w:rsidRDefault="00AF2EDF" w:rsidP="009B1CF7">
      <w:pPr>
        <w:pStyle w:val="ListParagraph"/>
        <w:numPr>
          <w:ilvl w:val="0"/>
          <w:numId w:val="7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altitude to the hypotenuse of a right triangle divides the triangle into two triangles that are similar to the original triangle and to each other.  </w:t>
      </w:r>
    </w:p>
    <w:p w:rsidR="00AF2EDF" w:rsidRDefault="00AF2EDF" w:rsidP="009B1CF7">
      <w:pPr>
        <w:pStyle w:val="ListParagraph"/>
        <w:numPr>
          <w:ilvl w:val="1"/>
          <w:numId w:val="7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Corollary 1: The length of the altitude to the hypotenuse of a right triangle is the geometric mean of the lengths of the segments of the hypotenuse</w:t>
      </w:r>
      <w:r w:rsidR="009B1CF7">
        <w:rPr>
          <w:rFonts w:ascii="Cambria Math" w:hAnsi="Cambria Math"/>
          <w:sz w:val="24"/>
          <w:szCs w:val="24"/>
        </w:rPr>
        <w:t>.</w:t>
      </w:r>
    </w:p>
    <w:p w:rsidR="009B1CF7" w:rsidRDefault="009B1CF7" w:rsidP="009B1CF7">
      <w:pPr>
        <w:pStyle w:val="ListParagraph"/>
        <w:numPr>
          <w:ilvl w:val="1"/>
          <w:numId w:val="7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Corollary 2: The altitude to the hypotenuse of a right triangle </w:t>
      </w:r>
      <w:proofErr w:type="spellStart"/>
      <w:r>
        <w:rPr>
          <w:rFonts w:ascii="Cambria Math" w:hAnsi="Cambria Math"/>
          <w:sz w:val="24"/>
          <w:szCs w:val="24"/>
        </w:rPr>
        <w:t>seperates</w:t>
      </w:r>
      <w:proofErr w:type="spellEnd"/>
      <w:r>
        <w:rPr>
          <w:rFonts w:ascii="Cambria Math" w:hAnsi="Cambria Math"/>
          <w:sz w:val="24"/>
          <w:szCs w:val="24"/>
        </w:rPr>
        <w:t xml:space="preserve"> the hypotenuse so that the length of each leg of the triangle is the geometric mean of the length of the adjacent hypotenuse segment and the length of the hypotenuse.  </w:t>
      </w:r>
    </w:p>
    <w:p w:rsidR="00AF2EDF" w:rsidRPr="009B1CF7" w:rsidRDefault="00AF2EDF" w:rsidP="009B1CF7">
      <w:pPr>
        <w:pStyle w:val="ListParagraph"/>
        <w:numPr>
          <w:ilvl w:val="0"/>
          <w:numId w:val="7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For any two positive numbers, a and b the </w:t>
      </w:r>
      <w:r>
        <w:rPr>
          <w:rFonts w:ascii="Cambria Math" w:hAnsi="Cambria Math"/>
          <w:b/>
          <w:sz w:val="24"/>
          <w:szCs w:val="24"/>
        </w:rPr>
        <w:t xml:space="preserve">geometric mean </w:t>
      </w:r>
      <w:r>
        <w:rPr>
          <w:rFonts w:ascii="Cambria Math" w:hAnsi="Cambria Math"/>
          <w:sz w:val="24"/>
          <w:szCs w:val="24"/>
        </w:rPr>
        <w:t xml:space="preserve">of a and b is the positive number x such </w:t>
      </w:r>
      <w:proofErr w:type="gramStart"/>
      <w:r>
        <w:rPr>
          <w:rFonts w:ascii="Cambria Math" w:hAnsi="Cambria Math"/>
          <w:sz w:val="24"/>
          <w:szCs w:val="24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.  Note that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rad>
      </m:oMath>
    </w:p>
    <w:p w:rsidR="009B1CF7" w:rsidRDefault="009B1CF7" w:rsidP="009B1CF7">
      <w:pPr>
        <w:spacing w:line="276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7.5: Proportions in Triangles</w:t>
      </w:r>
    </w:p>
    <w:p w:rsidR="009B1CF7" w:rsidRDefault="009B1CF7" w:rsidP="009B1CF7">
      <w:pPr>
        <w:pStyle w:val="ListParagraph"/>
        <w:numPr>
          <w:ilvl w:val="0"/>
          <w:numId w:val="8"/>
        </w:numPr>
        <w:spacing w:line="276" w:lineRule="auto"/>
        <w:rPr>
          <w:rFonts w:ascii="Cambria Math" w:hAnsi="Cambria Math"/>
          <w:sz w:val="24"/>
          <w:szCs w:val="24"/>
        </w:rPr>
      </w:pPr>
      <w:r w:rsidRPr="009B1CF7">
        <w:rPr>
          <w:rFonts w:ascii="Cambria Math" w:hAnsi="Cambria Math"/>
          <w:b/>
          <w:sz w:val="24"/>
          <w:szCs w:val="24"/>
        </w:rPr>
        <w:t xml:space="preserve">Side-Splitter Theorem: </w:t>
      </w:r>
      <w:r w:rsidRPr="009B1CF7">
        <w:rPr>
          <w:rFonts w:ascii="Cambria Math" w:hAnsi="Cambria Math"/>
          <w:sz w:val="24"/>
          <w:szCs w:val="24"/>
        </w:rPr>
        <w:t xml:space="preserve">If a line is parallel to one side of a triangle and intersects the other two sides then it divides those sides proportionally.  </w:t>
      </w:r>
    </w:p>
    <w:p w:rsidR="009B1CF7" w:rsidRDefault="009B1CF7" w:rsidP="009B1CF7">
      <w:pPr>
        <w:pStyle w:val="ListParagraph"/>
        <w:numPr>
          <w:ilvl w:val="1"/>
          <w:numId w:val="8"/>
        </w:numPr>
        <w:spacing w:line="276" w:lineRule="auto"/>
        <w:rPr>
          <w:rFonts w:ascii="Cambria Math" w:hAnsi="Cambria Math"/>
          <w:sz w:val="24"/>
          <w:szCs w:val="24"/>
        </w:rPr>
      </w:pPr>
      <w:r w:rsidRPr="009B1CF7">
        <w:rPr>
          <w:rFonts w:ascii="Cambria Math" w:hAnsi="Cambria Math"/>
          <w:b/>
          <w:sz w:val="24"/>
          <w:szCs w:val="24"/>
        </w:rPr>
        <w:t>C</w:t>
      </w:r>
      <w:r>
        <w:rPr>
          <w:rFonts w:ascii="Cambria Math" w:hAnsi="Cambria Math"/>
          <w:b/>
          <w:sz w:val="24"/>
          <w:szCs w:val="24"/>
        </w:rPr>
        <w:t>orollary-</w:t>
      </w:r>
      <w:r>
        <w:rPr>
          <w:rFonts w:ascii="Cambria Math" w:hAnsi="Cambria Math"/>
          <w:sz w:val="24"/>
          <w:szCs w:val="24"/>
        </w:rPr>
        <w:t>If three parallel lines intersect two transversals, then the segments intercepted on the transversals are proportional.</w:t>
      </w:r>
    </w:p>
    <w:p w:rsidR="009B1CF7" w:rsidRDefault="009B1CF7" w:rsidP="009B1CF7">
      <w:pPr>
        <w:pStyle w:val="ListParagraph"/>
        <w:numPr>
          <w:ilvl w:val="0"/>
          <w:numId w:val="8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Triangle-Angle Bisector Theorem: </w:t>
      </w:r>
      <w:r>
        <w:rPr>
          <w:rFonts w:ascii="Cambria Math" w:hAnsi="Cambria Math"/>
          <w:sz w:val="24"/>
          <w:szCs w:val="24"/>
        </w:rPr>
        <w:t>If a ray bisects an angle of a triangle, then it divides the opposite side into two segments that are proportional to the other two sides of the triangle.</w:t>
      </w:r>
    </w:p>
    <w:p w:rsidR="009B1CF7" w:rsidRPr="009B1CF7" w:rsidRDefault="009B1CF7" w:rsidP="009B1CF7">
      <w:p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Given various scenarios be able to use theorems to solve for side lengths.</w:t>
      </w:r>
    </w:p>
    <w:p w:rsidR="009B1CF7" w:rsidRDefault="009B1CF7" w:rsidP="009B1CF7">
      <w:pPr>
        <w:spacing w:line="276" w:lineRule="auto"/>
        <w:rPr>
          <w:rFonts w:ascii="Cambria Math" w:hAnsi="Cambria Math"/>
          <w:sz w:val="24"/>
          <w:szCs w:val="24"/>
        </w:rPr>
      </w:pPr>
    </w:p>
    <w:p w:rsidR="009B1CF7" w:rsidRDefault="009B1CF7" w:rsidP="009B1CF7">
      <w:p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Practice Problems </w:t>
      </w:r>
    </w:p>
    <w:p w:rsidR="009B1CF7" w:rsidRPr="009B1CF7" w:rsidRDefault="009B1CF7" w:rsidP="009B1CF7">
      <w:pPr>
        <w:pStyle w:val="ListParagraph"/>
        <w:numPr>
          <w:ilvl w:val="0"/>
          <w:numId w:val="9"/>
        </w:numPr>
        <w:spacing w:line="276" w:lineRule="auto"/>
        <w:rPr>
          <w:rFonts w:ascii="Cambria Math" w:hAnsi="Cambria Math"/>
          <w:b/>
          <w:sz w:val="24"/>
          <w:szCs w:val="24"/>
        </w:rPr>
      </w:pPr>
      <w:r w:rsidRPr="009B1CF7">
        <w:rPr>
          <w:rFonts w:ascii="Cambria Math" w:hAnsi="Cambria Math"/>
          <w:b/>
          <w:sz w:val="24"/>
          <w:szCs w:val="24"/>
        </w:rPr>
        <w:t>Checkpoint Quiz 1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Page 379 #1-10 all</w:t>
      </w:r>
    </w:p>
    <w:p w:rsidR="009B1CF7" w:rsidRDefault="009B1CF7" w:rsidP="009B1CF7">
      <w:pPr>
        <w:pStyle w:val="ListParagraph"/>
        <w:numPr>
          <w:ilvl w:val="0"/>
          <w:numId w:val="9"/>
        </w:numPr>
        <w:spacing w:line="276" w:lineRule="auto"/>
        <w:rPr>
          <w:rFonts w:ascii="Cambria Math" w:hAnsi="Cambria Math"/>
          <w:sz w:val="24"/>
          <w:szCs w:val="24"/>
        </w:rPr>
      </w:pPr>
      <w:r w:rsidRPr="009B1CF7">
        <w:rPr>
          <w:rFonts w:ascii="Cambria Math" w:hAnsi="Cambria Math"/>
          <w:b/>
          <w:sz w:val="24"/>
          <w:szCs w:val="24"/>
        </w:rPr>
        <w:t>Checkpoint Quiz 2</w:t>
      </w:r>
      <w:r w:rsidRPr="009B1CF7">
        <w:rPr>
          <w:rFonts w:ascii="Cambria Math" w:hAnsi="Cambria Math"/>
          <w:sz w:val="24"/>
          <w:szCs w:val="24"/>
        </w:rPr>
        <w:t xml:space="preserve"> Page 4</w:t>
      </w:r>
      <w:r>
        <w:rPr>
          <w:rFonts w:ascii="Cambria Math" w:hAnsi="Cambria Math"/>
          <w:sz w:val="24"/>
          <w:szCs w:val="24"/>
        </w:rPr>
        <w:t>4</w:t>
      </w:r>
      <w:r w:rsidRPr="009B1CF7">
        <w:rPr>
          <w:rFonts w:ascii="Cambria Math" w:hAnsi="Cambria Math"/>
          <w:sz w:val="24"/>
          <w:szCs w:val="24"/>
        </w:rPr>
        <w:t>0 #1-10 all</w:t>
      </w:r>
    </w:p>
    <w:p w:rsidR="009B1CF7" w:rsidRDefault="009B1CF7" w:rsidP="009B1CF7">
      <w:pPr>
        <w:pStyle w:val="ListParagraph"/>
        <w:numPr>
          <w:ilvl w:val="0"/>
          <w:numId w:val="9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Chapter Review </w:t>
      </w:r>
      <w:r>
        <w:rPr>
          <w:rFonts w:ascii="Cambria Math" w:hAnsi="Cambria Math"/>
          <w:sz w:val="24"/>
          <w:szCs w:val="24"/>
        </w:rPr>
        <w:t>Page 407-409 #1-2, 4-5,8-38 all</w:t>
      </w:r>
    </w:p>
    <w:p w:rsidR="009B1CF7" w:rsidRDefault="009B1CF7" w:rsidP="009B1CF7">
      <w:pPr>
        <w:pStyle w:val="ListParagraph"/>
        <w:numPr>
          <w:ilvl w:val="0"/>
          <w:numId w:val="9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Chapter Test </w:t>
      </w:r>
      <w:r>
        <w:rPr>
          <w:rFonts w:ascii="Cambria Math" w:hAnsi="Cambria Math"/>
          <w:sz w:val="24"/>
          <w:szCs w:val="24"/>
        </w:rPr>
        <w:t>Page 410 #1-24 (skip #22)</w:t>
      </w:r>
    </w:p>
    <w:p w:rsidR="009B1CF7" w:rsidRPr="009B1CF7" w:rsidRDefault="009B1CF7" w:rsidP="009B1CF7">
      <w:pPr>
        <w:pStyle w:val="ListParagraph"/>
        <w:numPr>
          <w:ilvl w:val="0"/>
          <w:numId w:val="9"/>
        </w:numPr>
        <w:spacing w:line="276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b/>
          <w:sz w:val="24"/>
          <w:szCs w:val="24"/>
        </w:rPr>
        <w:t xml:space="preserve">Extra Practice </w:t>
      </w:r>
      <w:r>
        <w:rPr>
          <w:rFonts w:ascii="Cambria Math" w:hAnsi="Cambria Math"/>
          <w:sz w:val="24"/>
          <w:szCs w:val="24"/>
        </w:rPr>
        <w:t>Page 728-729 #1-30 all (skip #29)</w:t>
      </w:r>
    </w:p>
    <w:sectPr w:rsidR="009B1CF7" w:rsidRPr="009B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D8"/>
    <w:multiLevelType w:val="hybridMultilevel"/>
    <w:tmpl w:val="E72ACAF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280C056A"/>
    <w:multiLevelType w:val="hybridMultilevel"/>
    <w:tmpl w:val="DB10A0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AC4EBE"/>
    <w:multiLevelType w:val="hybridMultilevel"/>
    <w:tmpl w:val="39F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FB2"/>
    <w:multiLevelType w:val="hybridMultilevel"/>
    <w:tmpl w:val="AC18A5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AE44365"/>
    <w:multiLevelType w:val="hybridMultilevel"/>
    <w:tmpl w:val="836AE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8067D"/>
    <w:multiLevelType w:val="hybridMultilevel"/>
    <w:tmpl w:val="3B5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4493"/>
    <w:multiLevelType w:val="hybridMultilevel"/>
    <w:tmpl w:val="15E2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969"/>
    <w:multiLevelType w:val="hybridMultilevel"/>
    <w:tmpl w:val="52B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22F8"/>
    <w:multiLevelType w:val="hybridMultilevel"/>
    <w:tmpl w:val="8BB886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E"/>
    <w:rsid w:val="009B1CF7"/>
    <w:rsid w:val="00AB0F6A"/>
    <w:rsid w:val="00AF2EDF"/>
    <w:rsid w:val="00CF2F10"/>
    <w:rsid w:val="00E544E4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3A6A-BB12-4F08-AD06-542AA42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Adamus, Ashley</dc:creator>
  <cp:keywords/>
  <dc:description/>
  <cp:lastModifiedBy>Adamus, Ashley</cp:lastModifiedBy>
  <cp:revision>2</cp:revision>
  <dcterms:created xsi:type="dcterms:W3CDTF">2017-02-26T23:19:00Z</dcterms:created>
  <dcterms:modified xsi:type="dcterms:W3CDTF">2017-02-26T23:19:00Z</dcterms:modified>
</cp:coreProperties>
</file>